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1440" w:right="0" w:hanging="1440" w:hangingChars="300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i w:val="0"/>
          <w:caps w:val="0"/>
          <w:color w:val="000000"/>
          <w:spacing w:val="0"/>
          <w:sz w:val="48"/>
          <w:szCs w:val="48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i w:val="0"/>
          <w:caps w:val="0"/>
          <w:color w:val="000000"/>
          <w:spacing w:val="0"/>
          <w:sz w:val="48"/>
          <w:szCs w:val="48"/>
          <w:shd w:val="clear" w:fill="FFFFFF"/>
        </w:rPr>
        <w:t>亳州市人力资源和社会保障局202</w:t>
      </w:r>
      <w:r>
        <w:rPr>
          <w:rFonts w:hint="eastAsia" w:ascii="方正小标宋简体" w:hAnsi="方正小标宋简体" w:eastAsia="方正小标宋简体" w:cs="方正小标宋简体"/>
          <w:b w:val="0"/>
          <w:i w:val="0"/>
          <w:caps w:val="0"/>
          <w:color w:val="000000"/>
          <w:spacing w:val="0"/>
          <w:sz w:val="48"/>
          <w:szCs w:val="48"/>
          <w:shd w:val="clear" w:fill="FFFFFF"/>
          <w:lang w:val="en-US" w:eastAsia="zh-CN"/>
        </w:rPr>
        <w:t>2</w:t>
      </w:r>
      <w:r>
        <w:rPr>
          <w:rFonts w:hint="eastAsia" w:ascii="方正小标宋简体" w:hAnsi="方正小标宋简体" w:eastAsia="方正小标宋简体" w:cs="方正小标宋简体"/>
          <w:b w:val="0"/>
          <w:i w:val="0"/>
          <w:caps w:val="0"/>
          <w:color w:val="000000"/>
          <w:spacing w:val="0"/>
          <w:sz w:val="48"/>
          <w:szCs w:val="48"/>
          <w:shd w:val="clear" w:fill="FFFFFF"/>
        </w:rPr>
        <w:t>年政府信息公开工作年度报告</w:t>
      </w:r>
    </w:p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根据《中华人民共和国政府信息公开条例》（国务院令第711号，以下简称《条例》）规定和《国务院办公厅政府信息与政务公开办公室关于印发&lt;中华人民共和国政府信息公开工作年度报告格式&gt;的通知》（国办公开办函〔2021〕30号）要求，现发布《亳州市人力资源和社会保障局202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年政府信息公开工作年度报告》。</w:t>
      </w:r>
    </w:p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一、总体情况</w:t>
      </w:r>
    </w:p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（一）主动公开情况。</w:t>
      </w:r>
    </w:p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72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按照市政府信息公开工作要求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，持续做好信息公开目录各项公开工作，</w:t>
      </w:r>
      <w:commentRangeStart w:id="0"/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shd w:val="clear" w:color="auto" w:fill="auto"/>
        </w:rPr>
        <w:t>202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shd w:val="clear" w:color="auto" w:fill="auto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shd w:val="clear" w:color="auto" w:fill="auto"/>
        </w:rPr>
        <w:t>年共发布解读信息7条。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spacing w:val="0"/>
          <w:kern w:val="0"/>
          <w:sz w:val="32"/>
          <w:szCs w:val="32"/>
          <w:shd w:val="clear" w:color="auto" w:fill="auto"/>
          <w:lang w:eastAsia="zh-CN"/>
        </w:rPr>
        <w:t>重点加强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shd w:val="clear" w:color="auto" w:fill="auto"/>
        </w:rPr>
        <w:t>就业创业、社会保险等加大年度重点工作信息公开力度，202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shd w:val="clear" w:color="auto" w:fill="auto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shd w:val="clear" w:color="auto" w:fill="auto"/>
        </w:rPr>
        <w:t>年共发布重点领域相关信息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shd w:val="clear" w:color="auto" w:fill="auto"/>
          <w:lang w:val="en-US" w:eastAsia="zh-CN"/>
        </w:rPr>
        <w:t>181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caps w:val="0"/>
          <w:color w:val="auto"/>
          <w:spacing w:val="0"/>
          <w:sz w:val="32"/>
          <w:szCs w:val="32"/>
          <w:shd w:val="clear" w:color="auto" w:fill="auto"/>
        </w:rPr>
        <w:t>条。</w:t>
      </w:r>
      <w:commentRange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shd w:val="clear" w:color="auto" w:fill="auto"/>
        </w:rPr>
        <w:commentReference w:id="0"/>
      </w:r>
    </w:p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（二）依申请公开情况。</w:t>
      </w:r>
    </w:p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严格执行《条例》规定，坚持依法办理。加强科室协作研究，审慎稳妥答复申请人。整体提升办理质量。截至</w:t>
      </w:r>
      <w:commentRangeStart w:id="1"/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年12月31日，亳州市人社局依法办理政府信息公开申请</w:t>
      </w:r>
      <w:r>
        <w:rPr>
          <w:rFonts w:hint="default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val="en" w:eastAsia="zh-CN"/>
        </w:rPr>
        <w:t>4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件。</w:t>
      </w:r>
      <w:commentRangeEnd w:id="1"/>
      <w:r>
        <w:rPr>
          <w:rFonts w:hint="eastAsia" w:ascii="仿宋_GB2312" w:hAnsi="仿宋_GB2312" w:eastAsia="仿宋_GB2312" w:cs="仿宋_GB2312"/>
          <w:sz w:val="32"/>
          <w:szCs w:val="32"/>
        </w:rPr>
        <w:commentReference w:id="1"/>
      </w:r>
    </w:p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commentRangeStart w:id="2"/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（三）政府信息管理情况。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进一步明确分管领导和专职工作人员，细化分工，夯实责任，严格规范政府信息公开报送、审核、发布等流程，做到公开信息准确、公开渠道畅通、公开流程清晰。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配合市政务公开办积极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开展涉密涉敏信息和典型错别字自查工作，查出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存在落马官员信息，错别字，表述不准确等问题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，无其他涉密涉敏信息上网、外链内容错误、失效、指向商业营利性网站以及法律法规规定不得对外公开的信息等问题。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年度共发布信息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1040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条。</w:t>
      </w:r>
      <w:commentRangeEnd w:id="2"/>
      <w:r>
        <w:rPr>
          <w:rFonts w:hint="eastAsia" w:ascii="仿宋_GB2312" w:hAnsi="仿宋_GB2312" w:eastAsia="仿宋_GB2312" w:cs="仿宋_GB2312"/>
          <w:sz w:val="32"/>
          <w:szCs w:val="32"/>
        </w:rPr>
        <w:commentReference w:id="2"/>
      </w:r>
    </w:p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（四）政府信息公开平台建设情况。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  <w:t>强化政府网站建设管理。为规范亳州市人力资源和社会保障局网站 (以下简称网站)信息发布工作，确保信息发布的真实、准确、及时、安全，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lang w:eastAsia="zh-CN"/>
        </w:rPr>
        <w:t>全力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lang w:val="en-US" w:eastAsia="zh-CN"/>
        </w:rPr>
        <w:t>配合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lang w:eastAsia="zh-CN"/>
        </w:rPr>
        <w:t>做好市政府门户网站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lang w:val="en-US" w:eastAsia="zh-CN"/>
        </w:rPr>
        <w:t>和信息公开网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lang w:eastAsia="zh-CN"/>
        </w:rPr>
        <w:t>建设工作，通过建章立制、强化管理和升级改造等举措，确保网站安全有效运行，实时精准公开政府信息。进一步提升信息公开平台发布功能，不断优化、规范栏目设置，不断提升信息发布质量和效率，信息服务水平再上新台阶。</w:t>
      </w:r>
    </w:p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（五）监督保障情况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一是强化业务培训。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积极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参加市政务公开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办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培训工作，提升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网站建设和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政务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信息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公开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管理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水平。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二是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加强日常监督管理。全年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针对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测评结果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val="en-US" w:eastAsia="zh-CN"/>
        </w:rPr>
        <w:t>及时整改完善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000000"/>
          <w:spacing w:val="0"/>
          <w:kern w:val="0"/>
          <w:sz w:val="32"/>
          <w:szCs w:val="32"/>
          <w:lang w:eastAsia="zh-CN"/>
        </w:rPr>
        <w:t>。三是完善社会评议制度，及时整改社会评议提出的问题。四是强化责任追究，全面落实监督岗位责任，定期检查信息公开内容更新情况，做好日常信息发布逐级审核，确保信息的时效性、可靠性。全年未发生因不履行政务公开义务而发生的责任追究情况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commentRangeStart w:id="3"/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  <w:t>二、主动公开政府信息情况</w:t>
      </w:r>
    </w:p>
    <w:tbl>
      <w:tblPr>
        <w:tblStyle w:val="5"/>
        <w:tblW w:w="9473" w:type="dxa"/>
        <w:jc w:val="center"/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0"/>
        <w:gridCol w:w="2430"/>
        <w:gridCol w:w="2430"/>
        <w:gridCol w:w="2183"/>
      </w:tblGrid>
      <w:tr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473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6D9F1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第二十条第（一）项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信息内容</w:t>
            </w:r>
          </w:p>
        </w:tc>
        <w:tc>
          <w:tcPr>
            <w:tcW w:w="24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本年制发件数</w:t>
            </w:r>
          </w:p>
        </w:tc>
        <w:tc>
          <w:tcPr>
            <w:tcW w:w="24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本年废止件数</w:t>
            </w:r>
          </w:p>
        </w:tc>
        <w:tc>
          <w:tcPr>
            <w:tcW w:w="21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现行有效件数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规章</w:t>
            </w:r>
          </w:p>
        </w:tc>
        <w:tc>
          <w:tcPr>
            <w:tcW w:w="24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  0</w:t>
            </w:r>
          </w:p>
        </w:tc>
        <w:tc>
          <w:tcPr>
            <w:tcW w:w="24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0</w:t>
            </w:r>
          </w:p>
        </w:tc>
        <w:tc>
          <w:tcPr>
            <w:tcW w:w="21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行政规范性文件</w:t>
            </w:r>
          </w:p>
        </w:tc>
        <w:tc>
          <w:tcPr>
            <w:tcW w:w="24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 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24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0</w:t>
            </w:r>
          </w:p>
        </w:tc>
        <w:tc>
          <w:tcPr>
            <w:tcW w:w="218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  <w:lang w:val="en-US" w:eastAsia="zh-CN"/>
              </w:rPr>
              <w:t>16</w:t>
            </w:r>
            <w:commentRangeEnd w:id="3"/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commentReference w:id="3"/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473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6D9F1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第二十条第（五）项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信息内容</w:t>
            </w:r>
          </w:p>
        </w:tc>
        <w:tc>
          <w:tcPr>
            <w:tcW w:w="704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本年处理决定数量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行政许可</w:t>
            </w:r>
          </w:p>
        </w:tc>
        <w:tc>
          <w:tcPr>
            <w:tcW w:w="704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473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6D9F1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第二十条第（六）项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信息内容</w:t>
            </w:r>
          </w:p>
        </w:tc>
        <w:tc>
          <w:tcPr>
            <w:tcW w:w="704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本年处理决定数量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行政处罚</w:t>
            </w:r>
          </w:p>
        </w:tc>
        <w:tc>
          <w:tcPr>
            <w:tcW w:w="704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2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行政强制</w:t>
            </w:r>
          </w:p>
        </w:tc>
        <w:tc>
          <w:tcPr>
            <w:tcW w:w="704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473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C6D9F1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第二十条第（八）项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信息内容</w:t>
            </w:r>
          </w:p>
        </w:tc>
        <w:tc>
          <w:tcPr>
            <w:tcW w:w="704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本年收费金额（单位：万元）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43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行政事业性收费</w:t>
            </w:r>
          </w:p>
        </w:tc>
        <w:tc>
          <w:tcPr>
            <w:tcW w:w="704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269.7989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47"/>
        <w:gridCol w:w="990"/>
        <w:gridCol w:w="3175"/>
        <w:gridCol w:w="654"/>
        <w:gridCol w:w="654"/>
        <w:gridCol w:w="654"/>
        <w:gridCol w:w="654"/>
        <w:gridCol w:w="654"/>
        <w:gridCol w:w="757"/>
        <w:gridCol w:w="80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12" w:type="dxa"/>
            <w:gridSpan w:val="3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36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12" w:type="dxa"/>
            <w:gridSpan w:val="3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65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自然人</w:t>
            </w:r>
          </w:p>
        </w:tc>
        <w:tc>
          <w:tcPr>
            <w:tcW w:w="337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法人或其他组织</w:t>
            </w:r>
          </w:p>
        </w:tc>
        <w:tc>
          <w:tcPr>
            <w:tcW w:w="809" w:type="dxa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12" w:type="dxa"/>
            <w:gridSpan w:val="3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65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企业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机构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社会公益组织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法律服务机构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其他</w:t>
            </w:r>
          </w:p>
        </w:tc>
        <w:tc>
          <w:tcPr>
            <w:tcW w:w="809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1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4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4 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1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三、本年度办理结果</w:t>
            </w:r>
          </w:p>
        </w:tc>
        <w:tc>
          <w:tcPr>
            <w:tcW w:w="41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（一）予以公开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4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4 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41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（三）不予公开</w:t>
            </w: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1.属于国家秘密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2.其他法律行政法规禁止公开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3.危及“三安全一稳定”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4.保护第三方合法权益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5.属于三类内部事务信息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6.属于四类过程性信息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99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7.属于行政执法案卷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8.属于行政查询事项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（四）无法提供</w:t>
            </w: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1.本机关不掌握相关政府信息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2.没有现成信息需要另行制作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3.补正后申请内容仍不明确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（五）不予处理</w:t>
            </w: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1.信访举报投诉类申请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2.重复申请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3.要求提供公开出版物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4.无正当理由大量反复申请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317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54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（六）其他处理</w:t>
            </w: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990" w:type="dxa"/>
            <w:vMerge w:val="continue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317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3.其他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0 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41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（七）总计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4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1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四、结转下年度继续办理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7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 0</w:t>
            </w:r>
          </w:p>
        </w:tc>
        <w:tc>
          <w:tcPr>
            <w:tcW w:w="8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80" w:lineRule="exact"/>
        <w:ind w:left="0" w:firstLine="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5"/>
        <w:tblW w:w="9748" w:type="dxa"/>
        <w:jc w:val="center"/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5"/>
        <w:gridCol w:w="645"/>
        <w:gridCol w:w="645"/>
        <w:gridCol w:w="645"/>
        <w:gridCol w:w="660"/>
        <w:gridCol w:w="645"/>
        <w:gridCol w:w="645"/>
        <w:gridCol w:w="645"/>
        <w:gridCol w:w="645"/>
        <w:gridCol w:w="660"/>
        <w:gridCol w:w="645"/>
        <w:gridCol w:w="645"/>
        <w:gridCol w:w="645"/>
        <w:gridCol w:w="645"/>
        <w:gridCol w:w="688"/>
      </w:tblGrid>
      <w:tr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4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行政复议</w:t>
            </w:r>
          </w:p>
        </w:tc>
        <w:tc>
          <w:tcPr>
            <w:tcW w:w="6508" w:type="dxa"/>
            <w:gridSpan w:val="10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行政诉讼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结果维持</w:t>
            </w:r>
          </w:p>
        </w:tc>
        <w:tc>
          <w:tcPr>
            <w:tcW w:w="64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结果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纠正</w:t>
            </w:r>
          </w:p>
        </w:tc>
        <w:tc>
          <w:tcPr>
            <w:tcW w:w="64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其他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结果</w:t>
            </w:r>
          </w:p>
        </w:tc>
        <w:tc>
          <w:tcPr>
            <w:tcW w:w="64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尚未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审结</w:t>
            </w:r>
          </w:p>
        </w:tc>
        <w:tc>
          <w:tcPr>
            <w:tcW w:w="66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总计</w:t>
            </w:r>
          </w:p>
        </w:tc>
        <w:tc>
          <w:tcPr>
            <w:tcW w:w="324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未经复议直接起诉</w:t>
            </w:r>
          </w:p>
        </w:tc>
        <w:tc>
          <w:tcPr>
            <w:tcW w:w="3268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复议后起诉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64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64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64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66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</w:pP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结果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维持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结果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纠正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其他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结果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尚未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审结</w:t>
            </w:r>
          </w:p>
        </w:tc>
        <w:tc>
          <w:tcPr>
            <w:tcW w:w="6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总计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结果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维持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结果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纠正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其他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结果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尚未</w:t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审结</w:t>
            </w:r>
          </w:p>
        </w:tc>
        <w:tc>
          <w:tcPr>
            <w:tcW w:w="6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总计</w:t>
            </w:r>
          </w:p>
        </w:tc>
      </w:tr>
      <w:tr>
        <w:trPr>
          <w:jc w:val="center"/>
        </w:trPr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 0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0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0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0</w:t>
            </w:r>
          </w:p>
        </w:tc>
        <w:tc>
          <w:tcPr>
            <w:tcW w:w="6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 0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0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0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0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0</w:t>
            </w:r>
          </w:p>
        </w:tc>
        <w:tc>
          <w:tcPr>
            <w:tcW w:w="6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0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0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 0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 0</w:t>
            </w:r>
          </w:p>
        </w:tc>
        <w:tc>
          <w:tcPr>
            <w:tcW w:w="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 0</w:t>
            </w:r>
          </w:p>
        </w:tc>
        <w:tc>
          <w:tcPr>
            <w:tcW w:w="6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75" w:beforeAutospacing="0" w:after="75" w:afterAutospacing="0" w:line="580" w:lineRule="exact"/>
              <w:ind w:left="0" w:right="0" w:firstLine="240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sz w:val="32"/>
                <w:szCs w:val="32"/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shd w:val="clear" w:fill="FFFFFF"/>
        </w:rPr>
        <w:t> 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  <w:t>五、存在的主要问题及改进情况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  <w:t>存在问题：一是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lang w:eastAsia="zh-CN"/>
        </w:rPr>
        <w:t>信息公开的时效性有待进一步加强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  <w:t>；二是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lang w:eastAsia="zh-CN"/>
        </w:rPr>
        <w:t>信息内容公开不够全面、及时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  <w:t>；三是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lang w:eastAsia="zh-CN"/>
        </w:rPr>
        <w:t>信息公开的深度和广度有待进一步扩大，公开形式不够丰富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  <w:t>改进情况：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深化信息公开内容认真梳理细化主动公开栏目，不断扩大信息公开的广度和深度，提高公开信息的质量。特别是对公众需求量大、申请比较集中的政府信息，要及时梳理、整合。同时，对公众关注度高、专业性强的政府规章、规范性文件、政策性意见等，适时开展通俗化、问答式的服务解读，提高政府信息公开的服务有效性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before="75" w:beforeAutospacing="0" w:after="75" w:afterAutospacing="0" w:line="58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  <w:t>六、其他需要报告的事项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  <w:t>   202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  <w:t>年度亳州市人力资源和社会保障局信息公开工作年度报告是根据《中华人民共和国政府信息公开条例》要求编制而成。 按照《国务院办公厅关于印发〈政府信息公开信息处理费管理办法〉的通知》（国办函〔2020〕109 号）规定的按件、按量收费标准，本年度没有产生信息公开处理费。无其他需要报告事项。本报告中所列数据的统计时限自202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  <w:t>年1月1日至202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  <w:t>年12月31日。本年度报告电子版可以在“亳州市政府信息公开网”（http://xxgk.bozhou.gov.cn）上下载。如对本报告有任何疑问，请与亳州市人力资源和社会保障局办公室联系（地址：亳州市希夷大道350号609室，电话：0558-5132281，传真：0558-5132220，电子邮箱：</w:t>
      </w:r>
      <w:r>
        <w:rPr>
          <w:rFonts w:hint="eastAsia" w:ascii="仿宋_GB2312" w:hAnsi="仿宋_GB2312" w:eastAsia="仿宋_GB2312" w:cs="仿宋_GB2312"/>
          <w:b w:val="0"/>
          <w:i w:val="0"/>
          <w:color w:val="000000"/>
          <w:spacing w:val="0"/>
          <w:sz w:val="32"/>
          <w:szCs w:val="32"/>
          <w:lang w:eastAsia="zh-CN"/>
        </w:rPr>
        <w:t>Gs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color w:val="000000"/>
          <w:spacing w:val="0"/>
          <w:sz w:val="32"/>
          <w:szCs w:val="32"/>
        </w:rPr>
        <w:t>@bzrs.gov.cn，邮编：236800）。</w:t>
      </w:r>
    </w:p>
    <w:p>
      <w:pPr>
        <w:spacing w:line="220" w:lineRule="atLeast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齐柏林" w:date="2023-01-30T11:02:21Z" w:initials="">
    <w:p w14:paraId="EFFE4021">
      <w:pPr>
        <w:pStyle w:val="3"/>
        <w:rPr>
          <w:rFonts w:hint="default" w:eastAsia="微软雅黑"/>
          <w:lang w:val="en-US" w:eastAsia="zh-CN"/>
        </w:rPr>
      </w:pPr>
      <w:r>
        <w:rPr>
          <w:rFonts w:hint="eastAsia"/>
          <w:lang w:eastAsia="zh-CN"/>
        </w:rPr>
        <w:t>与</w:t>
      </w:r>
      <w:r>
        <w:rPr>
          <w:rFonts w:hint="eastAsia"/>
          <w:lang w:val="en-US" w:eastAsia="zh-CN"/>
        </w:rPr>
        <w:t>去年雷同</w:t>
      </w:r>
    </w:p>
  </w:comment>
  <w:comment w:id="1" w:author="齐柏林" w:date="2023-01-30T10:54:19Z" w:initials="">
    <w:p w14:paraId="EDB533D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72" w:firstLineChars="200"/>
        <w:textAlignment w:val="auto"/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default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kern w:val="0"/>
          <w:sz w:val="32"/>
          <w:szCs w:val="32"/>
          <w:shd w:val="clear" w:color="auto" w:fill="FFFFFF"/>
          <w:lang w:val="en-US" w:eastAsia="zh-CN" w:bidi="ar"/>
        </w:rPr>
        <w:t>202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kern w:val="0"/>
          <w:sz w:val="32"/>
          <w:szCs w:val="32"/>
          <w:shd w:val="clear" w:color="auto" w:fill="FFFFFF"/>
          <w:lang w:val="en-US" w:eastAsia="zh-CN" w:bidi="ar"/>
        </w:rPr>
        <w:t>2年共收到依申请公开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kern w:val="0"/>
          <w:sz w:val="32"/>
          <w:szCs w:val="32"/>
          <w:highlight w:val="yellow"/>
          <w:shd w:val="clear" w:color="auto" w:fill="FFFFFF"/>
          <w:lang w:val="en-US" w:eastAsia="zh-CN" w:bidi="ar"/>
        </w:rPr>
        <w:t>**件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kern w:val="0"/>
          <w:sz w:val="32"/>
          <w:szCs w:val="32"/>
          <w:shd w:val="clear" w:color="auto" w:fill="FFFFFF"/>
          <w:lang w:val="en-US" w:eastAsia="zh-CN" w:bidi="ar"/>
        </w:rPr>
        <w:t>，其中网上申请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kern w:val="0"/>
          <w:sz w:val="32"/>
          <w:szCs w:val="32"/>
          <w:highlight w:val="yellow"/>
          <w:shd w:val="clear" w:color="auto" w:fill="FFFFFF"/>
          <w:lang w:val="en-US" w:eastAsia="zh-CN" w:bidi="ar"/>
        </w:rPr>
        <w:t>**件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kern w:val="0"/>
          <w:sz w:val="32"/>
          <w:szCs w:val="32"/>
          <w:shd w:val="clear" w:color="auto" w:fill="FFFFFF"/>
          <w:lang w:val="en-US" w:eastAsia="zh-CN" w:bidi="ar"/>
        </w:rPr>
        <w:t>，书面申请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kern w:val="0"/>
          <w:sz w:val="32"/>
          <w:szCs w:val="32"/>
          <w:highlight w:val="yellow"/>
          <w:shd w:val="clear" w:color="auto" w:fill="FFFFFF"/>
          <w:lang w:val="en-US" w:eastAsia="zh-CN" w:bidi="ar"/>
        </w:rPr>
        <w:t>**件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kern w:val="0"/>
          <w:sz w:val="32"/>
          <w:szCs w:val="32"/>
          <w:shd w:val="clear" w:color="auto" w:fill="FFFFFF"/>
          <w:lang w:val="en-US" w:eastAsia="zh-CN" w:bidi="ar"/>
        </w:rPr>
        <w:t>，已办结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kern w:val="0"/>
          <w:sz w:val="32"/>
          <w:szCs w:val="32"/>
          <w:highlight w:val="yellow"/>
          <w:shd w:val="clear" w:color="auto" w:fill="FFFFFF"/>
          <w:lang w:val="en-US" w:eastAsia="zh-CN" w:bidi="ar"/>
        </w:rPr>
        <w:t>**件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kern w:val="0"/>
          <w:sz w:val="32"/>
          <w:szCs w:val="32"/>
          <w:shd w:val="clear" w:color="auto" w:fill="FFFFFF"/>
          <w:lang w:val="en-US" w:eastAsia="zh-CN" w:bidi="ar"/>
        </w:rPr>
        <w:t>，办结率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kern w:val="0"/>
          <w:sz w:val="32"/>
          <w:szCs w:val="32"/>
          <w:highlight w:val="yellow"/>
          <w:shd w:val="clear" w:color="auto" w:fill="FFFFFF"/>
          <w:lang w:val="en-US" w:eastAsia="zh-CN" w:bidi="ar"/>
        </w:rPr>
        <w:t>**%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8"/>
          <w:kern w:val="0"/>
          <w:sz w:val="32"/>
          <w:szCs w:val="32"/>
          <w:shd w:val="clear" w:color="auto" w:fill="FFFFFF"/>
          <w:lang w:val="en-US" w:eastAsia="zh-CN" w:bidi="ar"/>
        </w:rPr>
        <w:t>。全部按照规定登记、审核、办理、答复、归档。</w:t>
      </w:r>
      <w:r>
        <w:rPr>
          <w:rFonts w:hint="eastAsia" w:ascii="方正楷体_GBK" w:hAnsi="方正楷体_GBK" w:eastAsia="方正楷体_GBK" w:cs="方正楷体_GBK"/>
          <w:b w:val="0"/>
          <w:bCs w:val="0"/>
          <w:i w:val="0"/>
          <w:iCs w:val="0"/>
          <w:color w:val="000000"/>
          <w:spacing w:val="0"/>
          <w:sz w:val="32"/>
          <w:szCs w:val="32"/>
          <w:highlight w:val="yellow"/>
          <w:lang w:val="en-US" w:eastAsia="zh-CN"/>
        </w:rPr>
        <w:t>所有申请均在规定时间内按要求答复办理，</w:t>
      </w:r>
      <w:r>
        <w:rPr>
          <w:rFonts w:hint="eastAsia" w:ascii="方正楷体_GBK" w:hAnsi="方正楷体_GBK" w:eastAsia="方正楷体_GBK" w:cs="方正楷体_GBK"/>
          <w:b w:val="0"/>
          <w:bCs w:val="0"/>
          <w:i w:val="0"/>
          <w:iCs w:val="0"/>
          <w:color w:val="000000"/>
          <w:spacing w:val="0"/>
          <w:sz w:val="32"/>
          <w:szCs w:val="32"/>
          <w:highlight w:val="yellow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b w:val="0"/>
          <w:bCs w:val="0"/>
          <w:i w:val="0"/>
          <w:iCs w:val="0"/>
          <w:color w:val="000000"/>
          <w:spacing w:val="0"/>
          <w:sz w:val="32"/>
          <w:szCs w:val="32"/>
          <w:highlight w:val="yellow"/>
          <w:lang w:val="en-US" w:eastAsia="zh-CN"/>
        </w:rPr>
        <w:t>有/无</w:t>
      </w:r>
      <w:r>
        <w:rPr>
          <w:rFonts w:hint="eastAsia" w:ascii="方正楷体_GBK" w:hAnsi="方正楷体_GBK" w:eastAsia="方正楷体_GBK" w:cs="方正楷体_GBK"/>
          <w:b w:val="0"/>
          <w:bCs w:val="0"/>
          <w:i w:val="0"/>
          <w:iCs w:val="0"/>
          <w:color w:val="000000"/>
          <w:spacing w:val="0"/>
          <w:sz w:val="32"/>
          <w:szCs w:val="32"/>
          <w:highlight w:val="yellow"/>
          <w:lang w:eastAsia="zh-CN"/>
        </w:rPr>
        <w:t>）</w:t>
      </w:r>
      <w:r>
        <w:rPr>
          <w:rFonts w:hint="eastAsia" w:ascii="方正楷体_GBK" w:hAnsi="方正楷体_GBK" w:eastAsia="方正楷体_GBK" w:cs="方正楷体_GBK"/>
          <w:b w:val="0"/>
          <w:bCs w:val="0"/>
          <w:i w:val="0"/>
          <w:iCs w:val="0"/>
          <w:color w:val="000000"/>
          <w:spacing w:val="0"/>
          <w:sz w:val="32"/>
          <w:szCs w:val="32"/>
          <w:highlight w:val="yellow"/>
          <w:lang w:val="en-US" w:eastAsia="zh-CN"/>
        </w:rPr>
        <w:t>是否</w:t>
      </w:r>
      <w:r>
        <w:rPr>
          <w:rFonts w:hint="default" w:ascii="方正楷体_GBK" w:hAnsi="方正楷体_GBK" w:eastAsia="方正楷体_GBK" w:cs="方正楷体_GBK"/>
          <w:b w:val="0"/>
          <w:bCs w:val="0"/>
          <w:i w:val="0"/>
          <w:iCs w:val="0"/>
          <w:color w:val="000000"/>
          <w:spacing w:val="0"/>
          <w:sz w:val="32"/>
          <w:szCs w:val="32"/>
          <w:highlight w:val="yellow"/>
        </w:rPr>
        <w:t>发生行政复议和行政诉讼案件。</w:t>
      </w:r>
    </w:p>
    <w:p w14:paraId="F52D9739">
      <w:pPr>
        <w:pStyle w:val="3"/>
        <w:rPr>
          <w:rFonts w:hint="default" w:eastAsiaTheme="minorEastAsia"/>
          <w:lang w:val="en-US" w:eastAsia="zh-CN"/>
        </w:rPr>
      </w:pPr>
    </w:p>
    <w:p w14:paraId="FB8B9F00">
      <w:pPr>
        <w:pStyle w:val="3"/>
      </w:pPr>
    </w:p>
  </w:comment>
  <w:comment w:id="2" w:author="齐柏林" w:date="2023-01-30T10:59:44Z" w:initials="">
    <w:p w14:paraId="17F7A3D4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 w:val="0"/>
        <w:topLinePunct w:val="0"/>
        <w:autoSpaceDE w:val="0"/>
        <w:autoSpaceDN/>
        <w:bidi w:val="0"/>
        <w:adjustRightInd/>
        <w:snapToGrid/>
        <w:spacing w:before="0" w:beforeAutospacing="0" w:after="0" w:afterAutospacing="0" w:line="600" w:lineRule="exact"/>
        <w:ind w:left="641" w:leftChars="0" w:right="0" w:rightChars="0" w:firstLine="480" w:firstLineChars="200"/>
        <w:jc w:val="both"/>
        <w:textAlignment w:val="auto"/>
        <w:rPr>
          <w:rFonts w:hint="default" w:ascii="方正楷体_GBK" w:hAnsi="方正楷体_GBK" w:eastAsia="方正楷体_GBK" w:cs="方正楷体_GBK"/>
          <w:b w:val="0"/>
          <w:bCs w:val="0"/>
          <w:i w:val="0"/>
          <w:iCs w:val="0"/>
          <w:color w:val="000000"/>
          <w:spacing w:val="0"/>
          <w:sz w:val="32"/>
          <w:szCs w:val="32"/>
          <w:highlight w:val="yellow"/>
          <w:lang w:val="en-US" w:eastAsia="zh-CN"/>
        </w:rPr>
      </w:pPr>
      <w:r>
        <w:rPr>
          <w:rFonts w:hint="eastAsia"/>
          <w:lang w:val="en-US" w:eastAsia="zh-CN"/>
        </w:rPr>
        <w:t>与去年雷同，要求：</w:t>
      </w:r>
      <w:r>
        <w:rPr>
          <w:rFonts w:hint="default" w:ascii="方正楷体_GBK" w:hAnsi="方正楷体_GBK" w:eastAsia="方正楷体_GBK" w:cs="方正楷体_GBK"/>
          <w:b w:val="0"/>
          <w:bCs w:val="0"/>
          <w:i w:val="0"/>
          <w:iCs w:val="0"/>
          <w:color w:val="000000"/>
          <w:spacing w:val="0"/>
          <w:sz w:val="32"/>
          <w:szCs w:val="32"/>
          <w:highlight w:val="yellow"/>
        </w:rPr>
        <w:t>围绕落实政府信息公开保密审查制度工作要求（隐私排查、错敏词等），重点公开对政府信息审查工作信息；需体现行政规范性文件规范工作落实情况，现行有效规范性文件**件，废止失效文件**件等）</w:t>
      </w:r>
      <w:r>
        <w:rPr>
          <w:rFonts w:hint="eastAsia" w:ascii="方正楷体_GBK" w:hAnsi="方正楷体_GBK" w:eastAsia="方正楷体_GBK" w:cs="方正楷体_GBK"/>
          <w:b w:val="0"/>
          <w:bCs w:val="0"/>
          <w:i w:val="0"/>
          <w:iCs w:val="0"/>
          <w:color w:val="000000"/>
          <w:spacing w:val="0"/>
          <w:sz w:val="32"/>
          <w:szCs w:val="32"/>
          <w:highlight w:val="yellow"/>
          <w:lang w:val="en-US" w:eastAsia="zh-CN"/>
        </w:rPr>
        <w:t>这些数据需要与下面的表格对应一致</w:t>
      </w:r>
    </w:p>
    <w:p w14:paraId="BBFD7C00">
      <w:pPr>
        <w:pStyle w:val="3"/>
        <w:rPr>
          <w:rFonts w:hint="default" w:eastAsia="微软雅黑"/>
          <w:lang w:val="en-US" w:eastAsia="zh-CN"/>
        </w:rPr>
      </w:pPr>
    </w:p>
  </w:comment>
  <w:comment w:id="3" w:author="齐柏林" w:date="2023-01-30T11:00:44Z" w:initials="">
    <w:p w14:paraId="D7F57B90">
      <w:pPr>
        <w:pStyle w:val="3"/>
        <w:rPr>
          <w:rFonts w:hint="default" w:eastAsia="微软雅黑"/>
          <w:lang w:val="en-US" w:eastAsia="zh-CN"/>
        </w:rPr>
      </w:pPr>
      <w:r>
        <w:rPr>
          <w:rFonts w:hint="eastAsia"/>
          <w:lang w:val="en-US" w:eastAsia="zh-CN"/>
        </w:rPr>
        <w:t>表格格式需要调整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EFFE4021" w15:done="0"/>
  <w15:commentEx w15:paraId="FB8B9F00" w15:done="0"/>
  <w15:commentEx w15:paraId="BBFD7C00" w15:done="0"/>
  <w15:commentEx w15:paraId="D7F57B9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ahoma">
    <w:altName w:val="DejaVu Sans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Arial">
    <w:altName w:val="Nimbus Roman No9 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齐柏林">
    <w15:presenceInfo w15:providerId="WPS Office" w15:userId="63853633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bordersDoNotSurroundHeader w:val="false"/>
  <w:bordersDoNotSurroundFooter w:val="false"/>
  <w:documentProtection w:enforcement="0"/>
  <w:defaultTabStop w:val="720"/>
  <w:displayHorizontalDrawingGridEvery w:val="1"/>
  <w:displayVerticalDrawingGridEvery w:val="1"/>
  <w:noPunctuationKerning w:val="true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iMDQ1OGJkMjgwMmU2ZmJlY2JjZDExOWQ2ZTJlMmQifQ=="/>
  </w:docVars>
  <w:rsids>
    <w:rsidRoot w:val="00D31D50"/>
    <w:rsid w:val="00323B43"/>
    <w:rsid w:val="003D37D8"/>
    <w:rsid w:val="00426133"/>
    <w:rsid w:val="004358AB"/>
    <w:rsid w:val="008B7726"/>
    <w:rsid w:val="00D31D50"/>
    <w:rsid w:val="08FB743C"/>
    <w:rsid w:val="18D6022A"/>
    <w:rsid w:val="1E20626E"/>
    <w:rsid w:val="28A63F3B"/>
    <w:rsid w:val="36657D1E"/>
    <w:rsid w:val="5A6A53C8"/>
    <w:rsid w:val="5D1FC27E"/>
    <w:rsid w:val="7A74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99"/>
    <w:pPr>
      <w:ind w:left="266" w:leftChars="266" w:firstLine="420" w:firstLineChars="150"/>
    </w:pPr>
    <w:rPr>
      <w:rFonts w:ascii="宋体" w:hAnsi="宋体"/>
      <w:sz w:val="28"/>
    </w:r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2238</Words>
  <Characters>2386</Characters>
  <Lines>1</Lines>
  <Paragraphs>1</Paragraphs>
  <TotalTime>2</TotalTime>
  <ScaleCrop>false</ScaleCrop>
  <LinksUpToDate>false</LinksUpToDate>
  <CharactersWithSpaces>2568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2008-09-12T01:20:00Z</dcterms:created>
  <dc:creator>Administrator</dc:creator>
  <cp:lastModifiedBy>xc</cp:lastModifiedBy>
  <dcterms:modified xsi:type="dcterms:W3CDTF">2023-12-08T08:50:04Z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738BF7B66C954311A38E2DA91B931CFD</vt:lpwstr>
  </property>
</Properties>
</file>